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7" w:rsidRDefault="00F0205B" w:rsidP="00AE25A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1943100" cy="828675"/>
            <wp:effectExtent l="19050" t="0" r="0" b="0"/>
            <wp:docPr id="1" name="Picture 1" descr="Brooklyn_Coop_Approve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klyn_Coop_Approve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AB" w:rsidRDefault="00766AA7" w:rsidP="00497D4E">
      <w:pPr>
        <w:tabs>
          <w:tab w:val="right" w:pos="9360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sz w:val="28"/>
          <w:szCs w:val="28"/>
        </w:rPr>
        <w:tab/>
      </w:r>
      <w:r w:rsidR="00AE25AB" w:rsidRPr="009A6E4D">
        <w:rPr>
          <w:rFonts w:ascii="Book Antiqua" w:hAnsi="Book Antiqua"/>
          <w:b/>
          <w:sz w:val="28"/>
          <w:szCs w:val="28"/>
        </w:rPr>
        <w:t>CDCI Luxury Expenditure Policy</w:t>
      </w:r>
    </w:p>
    <w:p w:rsidR="009A6E4D" w:rsidRPr="009D3213" w:rsidRDefault="00DB7B8F" w:rsidP="00AE25A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line id="_x0000_s1026" style="position:absolute;z-index:251657728" from="-7.5pt,12.2pt" to="471pt,12.2pt" strokeweight="3pt"/>
        </w:pict>
      </w:r>
    </w:p>
    <w:p w:rsidR="00AE25AB" w:rsidRPr="009D3213" w:rsidRDefault="00AE25AB" w:rsidP="00AE25AB">
      <w:pPr>
        <w:rPr>
          <w:rFonts w:ascii="Book Antiqua" w:hAnsi="Book Antiqua"/>
        </w:rPr>
      </w:pPr>
    </w:p>
    <w:p w:rsidR="00F267E3" w:rsidRPr="00497D4E" w:rsidRDefault="00F267E3" w:rsidP="00497D4E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497D4E">
        <w:rPr>
          <w:rFonts w:ascii="Book Antiqua" w:hAnsi="Book Antiqua" w:cs="Times New Roman"/>
          <w:b/>
          <w:bCs/>
          <w:u w:val="single"/>
        </w:rPr>
        <w:t>Overview</w:t>
      </w:r>
    </w:p>
    <w:p w:rsidR="00F267E3" w:rsidRPr="009D3213" w:rsidRDefault="00F267E3" w:rsidP="00AE25AB">
      <w:pPr>
        <w:rPr>
          <w:rFonts w:ascii="Book Antiqua" w:hAnsi="Book Antiqua"/>
        </w:rPr>
      </w:pPr>
    </w:p>
    <w:p w:rsidR="00AE25AB" w:rsidRPr="009D3213" w:rsidRDefault="00AE25AB" w:rsidP="00AE25AB">
      <w:pPr>
        <w:rPr>
          <w:rFonts w:ascii="Book Antiqua" w:hAnsi="Book Antiqua"/>
        </w:rPr>
      </w:pPr>
      <w:r w:rsidRPr="009D3213">
        <w:rPr>
          <w:rFonts w:ascii="Book Antiqua" w:hAnsi="Book Antiqua"/>
        </w:rPr>
        <w:t>The following polic</w:t>
      </w:r>
      <w:r w:rsidR="00766AA7">
        <w:rPr>
          <w:rFonts w:ascii="Book Antiqua" w:hAnsi="Book Antiqua"/>
        </w:rPr>
        <w:t>y</w:t>
      </w:r>
      <w:r w:rsidRPr="009D3213">
        <w:rPr>
          <w:rFonts w:ascii="Book Antiqua" w:hAnsi="Book Antiqua"/>
        </w:rPr>
        <w:t xml:space="preserve"> ensure</w:t>
      </w:r>
      <w:r w:rsidR="00497D4E">
        <w:rPr>
          <w:rFonts w:ascii="Book Antiqua" w:hAnsi="Book Antiqua"/>
        </w:rPr>
        <w:t>s</w:t>
      </w:r>
      <w:r w:rsidRPr="009D3213">
        <w:rPr>
          <w:rFonts w:ascii="Book Antiqua" w:hAnsi="Book Antiqua"/>
        </w:rPr>
        <w:t xml:space="preserve"> Brooklyn Cooperative</w:t>
      </w:r>
      <w:r w:rsidR="00497D4E">
        <w:rPr>
          <w:rFonts w:ascii="Book Antiqua" w:hAnsi="Book Antiqua"/>
        </w:rPr>
        <w:t xml:space="preserve"> FCU</w:t>
      </w:r>
      <w:r w:rsidRPr="009D3213">
        <w:rPr>
          <w:rFonts w:ascii="Book Antiqua" w:hAnsi="Book Antiqua"/>
        </w:rPr>
        <w:t>’s</w:t>
      </w:r>
      <w:r w:rsidR="00497D4E">
        <w:rPr>
          <w:rFonts w:ascii="Book Antiqua" w:hAnsi="Book Antiqua"/>
        </w:rPr>
        <w:t xml:space="preserve"> (Brooklyn Cooperative)</w:t>
      </w:r>
      <w:r w:rsidRPr="009D3213">
        <w:rPr>
          <w:rFonts w:ascii="Book Antiqua" w:hAnsi="Book Antiqua"/>
        </w:rPr>
        <w:t xml:space="preserve"> compliance with the </w:t>
      </w:r>
      <w:r w:rsidR="00497D4E">
        <w:rPr>
          <w:rFonts w:ascii="Book Antiqua" w:hAnsi="Book Antiqua"/>
        </w:rPr>
        <w:t xml:space="preserve">expenditure control </w:t>
      </w:r>
      <w:r w:rsidR="009D3213" w:rsidRPr="009D3213">
        <w:rPr>
          <w:rFonts w:ascii="Book Antiqua" w:hAnsi="Book Antiqua"/>
        </w:rPr>
        <w:t>requirements</w:t>
      </w:r>
      <w:r w:rsidRPr="009D3213">
        <w:rPr>
          <w:rFonts w:ascii="Book Antiqua" w:hAnsi="Book Antiqua"/>
        </w:rPr>
        <w:t xml:space="preserve"> applicable to credit union participants in the Community Development Capital Initiative (CDCI) of the US Treasury Department.  </w:t>
      </w:r>
      <w:r w:rsidR="00497D4E" w:rsidRPr="009D3213">
        <w:rPr>
          <w:rFonts w:ascii="Book Antiqua" w:hAnsi="Book Antiqua"/>
        </w:rPr>
        <w:t xml:space="preserve">The objective of this policy is to ensure that </w:t>
      </w:r>
      <w:r w:rsidR="00497D4E">
        <w:rPr>
          <w:rFonts w:ascii="Book Antiqua" w:hAnsi="Book Antiqua"/>
        </w:rPr>
        <w:t>we maintain</w:t>
      </w:r>
      <w:r w:rsidR="00497D4E" w:rsidRPr="009D3213">
        <w:rPr>
          <w:rFonts w:ascii="Book Antiqua" w:hAnsi="Book Antiqua"/>
        </w:rPr>
        <w:t xml:space="preserve"> appropriate oversight and governance over the approvals, reporting and controls relating to expenditures of funds to prevent unnecessary, excessive or luxury expenditures. </w:t>
      </w:r>
      <w:r w:rsidR="00497D4E">
        <w:rPr>
          <w:rFonts w:ascii="Book Antiqua" w:hAnsi="Book Antiqua"/>
        </w:rPr>
        <w:t xml:space="preserve"> </w:t>
      </w:r>
      <w:r w:rsidR="00497D4E" w:rsidRPr="009D3213">
        <w:rPr>
          <w:rFonts w:ascii="Book Antiqua" w:hAnsi="Book Antiqua"/>
        </w:rPr>
        <w:t xml:space="preserve">This policy applies to </w:t>
      </w:r>
      <w:r w:rsidR="00497D4E">
        <w:rPr>
          <w:rFonts w:ascii="Book Antiqua" w:hAnsi="Book Antiqua"/>
        </w:rPr>
        <w:t>Brooklyn Cooperative</w:t>
      </w:r>
      <w:r w:rsidR="00497D4E" w:rsidRPr="009D3213">
        <w:rPr>
          <w:rFonts w:ascii="Book Antiqua" w:hAnsi="Book Antiqua"/>
        </w:rPr>
        <w:t xml:space="preserve"> and its affiliates</w:t>
      </w:r>
      <w:r w:rsidR="0070266F">
        <w:rPr>
          <w:rFonts w:ascii="Book Antiqua" w:hAnsi="Book Antiqua"/>
        </w:rPr>
        <w:t xml:space="preserve"> and will </w:t>
      </w:r>
      <w:r w:rsidR="00497D4E">
        <w:rPr>
          <w:rFonts w:ascii="Book Antiqua" w:hAnsi="Book Antiqua"/>
        </w:rPr>
        <w:t xml:space="preserve">be posted on </w:t>
      </w:r>
      <w:r w:rsidR="00497D4E" w:rsidRPr="009D3213">
        <w:rPr>
          <w:rFonts w:ascii="Book Antiqua" w:hAnsi="Book Antiqua"/>
        </w:rPr>
        <w:t xml:space="preserve">our website: </w:t>
      </w:r>
      <w:hyperlink r:id="rId8" w:history="1">
        <w:r w:rsidR="00497D4E" w:rsidRPr="009D3213">
          <w:rPr>
            <w:rStyle w:val="Hyperlink"/>
            <w:rFonts w:ascii="Book Antiqua" w:hAnsi="Book Antiqua"/>
          </w:rPr>
          <w:t>www.brooklyn.coop</w:t>
        </w:r>
      </w:hyperlink>
      <w:r w:rsidR="00497D4E" w:rsidRPr="009D3213">
        <w:rPr>
          <w:rFonts w:ascii="Book Antiqua" w:hAnsi="Book Antiqua"/>
        </w:rPr>
        <w:t xml:space="preserve">.  </w:t>
      </w:r>
    </w:p>
    <w:p w:rsidR="00AE25AB" w:rsidRPr="009D3213" w:rsidRDefault="00AE25AB" w:rsidP="00AE25AB">
      <w:pPr>
        <w:rPr>
          <w:rFonts w:ascii="Book Antiqua" w:hAnsi="Book Antiqua"/>
        </w:rPr>
      </w:pPr>
    </w:p>
    <w:p w:rsidR="00AE25AB" w:rsidRPr="009D3213" w:rsidRDefault="00AE25AB" w:rsidP="00583A5A">
      <w:pPr>
        <w:pStyle w:val="Default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</w:rPr>
        <w:t xml:space="preserve">Brooklyn Cooperative’s </w:t>
      </w:r>
      <w:r w:rsidR="00497D4E">
        <w:rPr>
          <w:rFonts w:ascii="Book Antiqua" w:hAnsi="Book Antiqua" w:cs="Times New Roman"/>
        </w:rPr>
        <w:t xml:space="preserve">expenditure policy is </w:t>
      </w:r>
      <w:r w:rsidRPr="009D3213">
        <w:rPr>
          <w:rFonts w:ascii="Book Antiqua" w:hAnsi="Book Antiqua" w:cs="Times New Roman"/>
        </w:rPr>
        <w:t xml:space="preserve">conservative and prudent, consistent with our mission to provide affordable and fair services to </w:t>
      </w:r>
      <w:r w:rsidR="009D3213" w:rsidRPr="009D3213">
        <w:rPr>
          <w:rFonts w:ascii="Book Antiqua" w:hAnsi="Book Antiqua" w:cs="Times New Roman"/>
        </w:rPr>
        <w:t xml:space="preserve">a </w:t>
      </w:r>
      <w:r w:rsidRPr="009D3213">
        <w:rPr>
          <w:rFonts w:ascii="Book Antiqua" w:hAnsi="Book Antiqua" w:cs="Times New Roman"/>
        </w:rPr>
        <w:t xml:space="preserve">low-income Field of Membership.  </w:t>
      </w:r>
      <w:r w:rsidR="009D3213" w:rsidRPr="009D3213">
        <w:rPr>
          <w:rFonts w:ascii="Book Antiqua" w:hAnsi="Book Antiqua" w:cs="Times New Roman"/>
        </w:rPr>
        <w:t xml:space="preserve">As a matter of general business practice, </w:t>
      </w:r>
      <w:r w:rsidR="009A6E4D">
        <w:rPr>
          <w:rFonts w:ascii="Book Antiqua" w:hAnsi="Book Antiqua" w:cs="Times New Roman"/>
        </w:rPr>
        <w:t>the credit union does</w:t>
      </w:r>
      <w:r w:rsidR="009D3213" w:rsidRPr="009D3213">
        <w:rPr>
          <w:rFonts w:ascii="Book Antiqua" w:hAnsi="Book Antiqua" w:cs="Times New Roman"/>
        </w:rPr>
        <w:t xml:space="preserve"> not incur any luxury expenses.  </w:t>
      </w:r>
    </w:p>
    <w:p w:rsidR="00AE25AB" w:rsidRPr="009D3213" w:rsidRDefault="00AE25AB">
      <w:pPr>
        <w:rPr>
          <w:rFonts w:ascii="Book Antiqua" w:hAnsi="Book Antiqua"/>
        </w:rPr>
      </w:pPr>
    </w:p>
    <w:p w:rsidR="00367FC1" w:rsidRPr="009A6E4D" w:rsidRDefault="009D3213" w:rsidP="009D3213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9A6E4D">
        <w:rPr>
          <w:rFonts w:ascii="Book Antiqua" w:hAnsi="Book Antiqua" w:cs="Times New Roman"/>
          <w:b/>
          <w:bCs/>
          <w:u w:val="single"/>
        </w:rPr>
        <w:t>Expense Management</w:t>
      </w:r>
      <w:r w:rsidR="00367FC1" w:rsidRPr="009A6E4D">
        <w:rPr>
          <w:rFonts w:ascii="Book Antiqua" w:hAnsi="Book Antiqua" w:cs="Times New Roman"/>
          <w:b/>
          <w:bCs/>
          <w:u w:val="single"/>
        </w:rPr>
        <w:t xml:space="preserve"> </w:t>
      </w:r>
    </w:p>
    <w:p w:rsidR="009D3213" w:rsidRPr="009D3213" w:rsidRDefault="009D3213" w:rsidP="009D3213">
      <w:pPr>
        <w:pStyle w:val="Default"/>
        <w:ind w:left="360"/>
        <w:rPr>
          <w:rFonts w:ascii="Book Antiqua" w:hAnsi="Book Antiqua" w:cs="Times New Roman"/>
          <w:u w:val="single"/>
        </w:rPr>
      </w:pPr>
    </w:p>
    <w:p w:rsidR="007123C1" w:rsidRDefault="00497D4E" w:rsidP="00367FC1">
      <w:pPr>
        <w:rPr>
          <w:rFonts w:ascii="Book Antiqua" w:hAnsi="Book Antiqua"/>
        </w:rPr>
      </w:pPr>
      <w:r>
        <w:rPr>
          <w:rFonts w:ascii="Book Antiqua" w:hAnsi="Book Antiqua"/>
        </w:rPr>
        <w:t>Brooklyn Cooperative</w:t>
      </w:r>
      <w:r w:rsidRPr="009D3213">
        <w:rPr>
          <w:rFonts w:ascii="Book Antiqua" w:hAnsi="Book Antiqua"/>
        </w:rPr>
        <w:t xml:space="preserve"> </w:t>
      </w:r>
      <w:r w:rsidR="00367FC1" w:rsidRPr="009D3213">
        <w:rPr>
          <w:rFonts w:ascii="Book Antiqua" w:hAnsi="Book Antiqua"/>
        </w:rPr>
        <w:t>has adopted policies for expense management and fraud control that govern the expenditure of funds for operating purposes and reimbu</w:t>
      </w:r>
      <w:r w:rsidR="009D3213">
        <w:rPr>
          <w:rFonts w:ascii="Book Antiqua" w:hAnsi="Book Antiqua"/>
        </w:rPr>
        <w:t>rsable business expenses (RBE) i</w:t>
      </w:r>
      <w:r w:rsidR="00157CC5" w:rsidRPr="009D3213">
        <w:rPr>
          <w:rFonts w:ascii="Book Antiqua" w:hAnsi="Book Antiqua"/>
        </w:rPr>
        <w:t xml:space="preserve">n which </w:t>
      </w:r>
      <w:r w:rsidR="00BD20DF" w:rsidRPr="009D3213">
        <w:rPr>
          <w:rFonts w:ascii="Book Antiqua" w:hAnsi="Book Antiqua"/>
        </w:rPr>
        <w:t>each</w:t>
      </w:r>
      <w:r w:rsidR="00367FC1" w:rsidRPr="009D3213">
        <w:rPr>
          <w:rFonts w:ascii="Book Antiqua" w:hAnsi="Book Antiqua"/>
        </w:rPr>
        <w:t xml:space="preserve"> is subject to managerial review and approval prior to payment.</w:t>
      </w:r>
      <w:r w:rsidR="0050100B">
        <w:rPr>
          <w:rFonts w:ascii="Book Antiqua" w:hAnsi="Book Antiqua"/>
        </w:rPr>
        <w:t xml:space="preserve"> </w:t>
      </w:r>
      <w:r w:rsidR="00367FC1" w:rsidRPr="009D3213">
        <w:rPr>
          <w:rFonts w:ascii="Book Antiqua" w:hAnsi="Book Antiqua"/>
        </w:rPr>
        <w:t xml:space="preserve"> Expenses incurred in the normal course of business for staff development, reasonable performance incentives, general operating expenses, RBE, </w:t>
      </w:r>
      <w:r w:rsidR="009A6E4D">
        <w:rPr>
          <w:rFonts w:ascii="Book Antiqua" w:hAnsi="Book Antiqua"/>
        </w:rPr>
        <w:t xml:space="preserve">travel expenses, </w:t>
      </w:r>
      <w:r w:rsidR="00367FC1" w:rsidRPr="009D3213">
        <w:rPr>
          <w:rFonts w:ascii="Book Antiqua" w:hAnsi="Book Antiqua"/>
        </w:rPr>
        <w:t xml:space="preserve">or other similar reasonable expenses are covered by </w:t>
      </w:r>
      <w:r>
        <w:rPr>
          <w:rFonts w:ascii="Book Antiqua" w:hAnsi="Book Antiqua"/>
        </w:rPr>
        <w:t>Brooklyn Cooperative’s</w:t>
      </w:r>
      <w:r w:rsidRPr="009D3213">
        <w:rPr>
          <w:rFonts w:ascii="Book Antiqua" w:hAnsi="Book Antiqua"/>
        </w:rPr>
        <w:t xml:space="preserve"> </w:t>
      </w:r>
      <w:r w:rsidR="0070266F">
        <w:rPr>
          <w:rFonts w:ascii="Book Antiqua" w:hAnsi="Book Antiqua"/>
        </w:rPr>
        <w:t>E</w:t>
      </w:r>
      <w:r w:rsidR="00367FC1" w:rsidRPr="009D3213">
        <w:rPr>
          <w:rFonts w:ascii="Book Antiqua" w:hAnsi="Book Antiqua"/>
        </w:rPr>
        <w:t xml:space="preserve">xpense </w:t>
      </w:r>
      <w:r w:rsidR="0070266F">
        <w:rPr>
          <w:rFonts w:ascii="Book Antiqua" w:hAnsi="Book Antiqua"/>
        </w:rPr>
        <w:t>P</w:t>
      </w:r>
      <w:r w:rsidR="00367FC1" w:rsidRPr="009D3213">
        <w:rPr>
          <w:rFonts w:ascii="Book Antiqua" w:hAnsi="Book Antiqua"/>
        </w:rPr>
        <w:t>olicy</w:t>
      </w:r>
      <w:r w:rsidR="009A6E4D">
        <w:rPr>
          <w:rFonts w:ascii="Book Antiqua" w:hAnsi="Book Antiqua"/>
        </w:rPr>
        <w:t xml:space="preserve"> (approved 8/20/2009) and </w:t>
      </w:r>
      <w:r>
        <w:rPr>
          <w:rFonts w:ascii="Book Antiqua" w:hAnsi="Book Antiqua"/>
        </w:rPr>
        <w:t xml:space="preserve">Brooklyn Cooperative’s </w:t>
      </w:r>
      <w:r w:rsidR="009A6E4D">
        <w:rPr>
          <w:rFonts w:ascii="Book Antiqua" w:hAnsi="Book Antiqua"/>
        </w:rPr>
        <w:t>Travel Policy and Procedures (approved</w:t>
      </w:r>
      <w:r w:rsidR="0070266F">
        <w:rPr>
          <w:rFonts w:ascii="Book Antiqua" w:hAnsi="Book Antiqua"/>
        </w:rPr>
        <w:t xml:space="preserve"> 12/20/2010</w:t>
      </w:r>
      <w:r w:rsidR="009A6E4D">
        <w:rPr>
          <w:rFonts w:ascii="Book Antiqua" w:hAnsi="Book Antiqua"/>
        </w:rPr>
        <w:t>)</w:t>
      </w:r>
      <w:r w:rsidR="00367FC1" w:rsidRPr="009D3213">
        <w:rPr>
          <w:rFonts w:ascii="Book Antiqua" w:hAnsi="Book Antiqua"/>
        </w:rPr>
        <w:t>.</w:t>
      </w:r>
      <w:r w:rsidR="007123C1">
        <w:rPr>
          <w:rFonts w:ascii="Book Antiqua" w:hAnsi="Book Antiqua"/>
        </w:rPr>
        <w:t xml:space="preserve">  </w:t>
      </w:r>
    </w:p>
    <w:p w:rsidR="007123C1" w:rsidRDefault="007123C1" w:rsidP="00367FC1">
      <w:pPr>
        <w:rPr>
          <w:rFonts w:ascii="Book Antiqua" w:hAnsi="Book Antiqua"/>
        </w:rPr>
      </w:pPr>
    </w:p>
    <w:p w:rsidR="00A3541C" w:rsidRPr="009D3213" w:rsidRDefault="007123C1" w:rsidP="00367FC1">
      <w:pPr>
        <w:rPr>
          <w:rFonts w:ascii="Book Antiqua" w:hAnsi="Book Antiqua"/>
        </w:rPr>
      </w:pPr>
      <w:r>
        <w:rPr>
          <w:rFonts w:ascii="Book Antiqua" w:hAnsi="Book Antiqua"/>
        </w:rPr>
        <w:t>Both these policies specify that advance approval is required for all expenditures above $400.  However, there are c</w:t>
      </w:r>
      <w:r w:rsidR="00367FC1" w:rsidRPr="009D3213">
        <w:rPr>
          <w:rFonts w:ascii="Book Antiqua" w:hAnsi="Book Antiqua"/>
        </w:rPr>
        <w:t xml:space="preserve">ertain </w:t>
      </w:r>
      <w:r>
        <w:rPr>
          <w:rFonts w:ascii="Book Antiqua" w:hAnsi="Book Antiqua"/>
        </w:rPr>
        <w:t xml:space="preserve">categories that </w:t>
      </w:r>
      <w:r w:rsidR="00367FC1" w:rsidRPr="009D3213">
        <w:rPr>
          <w:rFonts w:ascii="Book Antiqua" w:hAnsi="Book Antiqua"/>
        </w:rPr>
        <w:t>warrant stricter controls to prevent unnecessary, excessive or luxury expenditures</w:t>
      </w:r>
      <w:r>
        <w:rPr>
          <w:rFonts w:ascii="Book Antiqua" w:hAnsi="Book Antiqua"/>
        </w:rPr>
        <w:t>, such as</w:t>
      </w:r>
      <w:r w:rsidR="00367FC1" w:rsidRPr="009D3213">
        <w:rPr>
          <w:rFonts w:ascii="Book Antiqua" w:hAnsi="Book Antiqua"/>
        </w:rPr>
        <w:t>: Client Entertainment and Tickets, Meetings and Events, Transportation</w:t>
      </w:r>
      <w:r w:rsidR="009A6E4D">
        <w:rPr>
          <w:rFonts w:ascii="Book Antiqua" w:hAnsi="Book Antiqua"/>
        </w:rPr>
        <w:t>,</w:t>
      </w:r>
      <w:r w:rsidR="00367FC1" w:rsidRPr="009D3213">
        <w:rPr>
          <w:rFonts w:ascii="Book Antiqua" w:hAnsi="Book Antiqua"/>
        </w:rPr>
        <w:t xml:space="preserve"> </w:t>
      </w:r>
      <w:r w:rsidR="009A6E4D">
        <w:rPr>
          <w:rFonts w:ascii="Book Antiqua" w:hAnsi="Book Antiqua"/>
        </w:rPr>
        <w:t xml:space="preserve">and Office </w:t>
      </w:r>
      <w:r w:rsidR="00367FC1" w:rsidRPr="009D3213">
        <w:rPr>
          <w:rFonts w:ascii="Book Antiqua" w:hAnsi="Book Antiqua"/>
        </w:rPr>
        <w:t>Renovations.</w:t>
      </w:r>
      <w:r w:rsidR="00BD20DF" w:rsidRPr="009D3213">
        <w:rPr>
          <w:rFonts w:ascii="Book Antiqua" w:hAnsi="Book Antiqua"/>
        </w:rPr>
        <w:t xml:space="preserve">  </w:t>
      </w:r>
      <w:r w:rsidR="00A3541C" w:rsidRPr="009D3213">
        <w:rPr>
          <w:rFonts w:ascii="Book Antiqua" w:hAnsi="Book Antiqua"/>
        </w:rPr>
        <w:t xml:space="preserve">The approval procedures these expenses are summarized below. </w:t>
      </w:r>
      <w:r w:rsidR="0050100B">
        <w:rPr>
          <w:rFonts w:ascii="Book Antiqua" w:hAnsi="Book Antiqua"/>
        </w:rPr>
        <w:t xml:space="preserve"> </w:t>
      </w:r>
    </w:p>
    <w:p w:rsidR="00F267E3" w:rsidRPr="009D3213" w:rsidRDefault="00F267E3" w:rsidP="00367FC1">
      <w:pPr>
        <w:rPr>
          <w:rFonts w:ascii="Book Antiqua" w:hAnsi="Book Antiqua"/>
        </w:rPr>
      </w:pPr>
    </w:p>
    <w:p w:rsidR="00F267E3" w:rsidRPr="007123C1" w:rsidRDefault="009D3213" w:rsidP="009D3213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Entertainment</w:t>
      </w:r>
    </w:p>
    <w:p w:rsidR="009D3213" w:rsidRPr="009D3213" w:rsidRDefault="009D3213" w:rsidP="009D3213">
      <w:pPr>
        <w:pStyle w:val="Default"/>
        <w:rPr>
          <w:rFonts w:ascii="Book Antiqua" w:hAnsi="Book Antiqua" w:cs="Times New Roman"/>
          <w:u w:val="single"/>
        </w:rPr>
      </w:pPr>
    </w:p>
    <w:p w:rsidR="00F267E3" w:rsidRPr="009D3213" w:rsidRDefault="005F16FA" w:rsidP="00F267E3">
      <w:pPr>
        <w:rPr>
          <w:rFonts w:ascii="Book Antiqua" w:hAnsi="Book Antiqua"/>
        </w:rPr>
      </w:pPr>
      <w:r w:rsidRPr="009D3213">
        <w:rPr>
          <w:rFonts w:ascii="Book Antiqua" w:hAnsi="Book Antiqua"/>
        </w:rPr>
        <w:lastRenderedPageBreak/>
        <w:t xml:space="preserve">Partner (or donor) </w:t>
      </w:r>
      <w:r w:rsidR="00F267E3" w:rsidRPr="009D3213">
        <w:rPr>
          <w:rFonts w:ascii="Book Antiqua" w:hAnsi="Book Antiqua"/>
        </w:rPr>
        <w:t xml:space="preserve">entertainment </w:t>
      </w:r>
      <w:r w:rsidRPr="009D3213">
        <w:rPr>
          <w:rFonts w:ascii="Book Antiqua" w:hAnsi="Book Antiqua"/>
        </w:rPr>
        <w:t>happen</w:t>
      </w:r>
      <w:r w:rsidR="007123C1">
        <w:rPr>
          <w:rFonts w:ascii="Book Antiqua" w:hAnsi="Book Antiqua"/>
        </w:rPr>
        <w:t>s</w:t>
      </w:r>
      <w:r w:rsidRPr="009D3213">
        <w:rPr>
          <w:rFonts w:ascii="Book Antiqua" w:hAnsi="Book Antiqua"/>
        </w:rPr>
        <w:t xml:space="preserve"> rarely and when it occurs, it </w:t>
      </w:r>
      <w:r w:rsidR="00F267E3" w:rsidRPr="009D3213">
        <w:rPr>
          <w:rFonts w:ascii="Book Antiqua" w:hAnsi="Book Antiqua"/>
        </w:rPr>
        <w:t>must support</w:t>
      </w:r>
      <w:r w:rsidRPr="009D3213">
        <w:rPr>
          <w:rFonts w:ascii="Book Antiqua" w:hAnsi="Book Antiqua"/>
        </w:rPr>
        <w:t xml:space="preserve"> a legitimate business purpose.  </w:t>
      </w:r>
      <w:r w:rsidR="007123C1">
        <w:rPr>
          <w:rFonts w:ascii="Book Antiqua" w:hAnsi="Book Antiqua"/>
        </w:rPr>
        <w:t xml:space="preserve">Existing policy provides that </w:t>
      </w:r>
      <w:r w:rsidRPr="009D3213">
        <w:rPr>
          <w:rFonts w:ascii="Book Antiqua" w:hAnsi="Book Antiqua"/>
        </w:rPr>
        <w:t>Brooklyn Cooperative staff should not provide gifts or cover any entertainment expenses of a</w:t>
      </w:r>
      <w:r w:rsidR="009D3213">
        <w:rPr>
          <w:rFonts w:ascii="Book Antiqua" w:hAnsi="Book Antiqua"/>
        </w:rPr>
        <w:t xml:space="preserve">ny </w:t>
      </w:r>
      <w:r w:rsidR="009A6E4D">
        <w:rPr>
          <w:rFonts w:ascii="Book Antiqua" w:hAnsi="Book Antiqua"/>
        </w:rPr>
        <w:t xml:space="preserve">credit union </w:t>
      </w:r>
      <w:r w:rsidR="009D3213">
        <w:rPr>
          <w:rFonts w:ascii="Book Antiqua" w:hAnsi="Book Antiqua"/>
        </w:rPr>
        <w:t xml:space="preserve">members who have applied for, or received, </w:t>
      </w:r>
      <w:r w:rsidRPr="009D3213">
        <w:rPr>
          <w:rFonts w:ascii="Book Antiqua" w:hAnsi="Book Antiqua"/>
        </w:rPr>
        <w:t xml:space="preserve">a loan.  </w:t>
      </w:r>
      <w:r w:rsidR="00F267E3" w:rsidRPr="009D3213">
        <w:rPr>
          <w:rFonts w:ascii="Book Antiqua" w:hAnsi="Book Antiqua"/>
        </w:rPr>
        <w:t>The amount</w:t>
      </w:r>
      <w:r w:rsidR="009D3213">
        <w:rPr>
          <w:rFonts w:ascii="Book Antiqua" w:hAnsi="Book Antiqua"/>
        </w:rPr>
        <w:t xml:space="preserve"> of </w:t>
      </w:r>
      <w:r w:rsidR="00153FB0">
        <w:rPr>
          <w:rFonts w:ascii="Book Antiqua" w:hAnsi="Book Antiqua"/>
        </w:rPr>
        <w:t>p</w:t>
      </w:r>
      <w:r w:rsidR="009D3213" w:rsidRPr="009D3213">
        <w:rPr>
          <w:rFonts w:ascii="Book Antiqua" w:hAnsi="Book Antiqua"/>
        </w:rPr>
        <w:t>artner (or donor) entertainment</w:t>
      </w:r>
      <w:r w:rsidR="00F267E3" w:rsidRPr="009D3213">
        <w:rPr>
          <w:rFonts w:ascii="Book Antiqua" w:hAnsi="Book Antiqua"/>
        </w:rPr>
        <w:t xml:space="preserve"> </w:t>
      </w:r>
      <w:r w:rsidR="00153FB0">
        <w:rPr>
          <w:rFonts w:ascii="Book Antiqua" w:hAnsi="Book Antiqua"/>
        </w:rPr>
        <w:t xml:space="preserve">expenses </w:t>
      </w:r>
      <w:r w:rsidR="00F267E3" w:rsidRPr="009D3213">
        <w:rPr>
          <w:rFonts w:ascii="Book Antiqua" w:hAnsi="Book Antiqua"/>
        </w:rPr>
        <w:t xml:space="preserve">that may be reimbursed to employees </w:t>
      </w:r>
      <w:r w:rsidRPr="009D3213">
        <w:rPr>
          <w:rFonts w:ascii="Book Antiqua" w:hAnsi="Book Antiqua"/>
        </w:rPr>
        <w:t>is</w:t>
      </w:r>
      <w:r w:rsidR="00F267E3" w:rsidRPr="009D3213">
        <w:rPr>
          <w:rFonts w:ascii="Book Antiqua" w:hAnsi="Book Antiqua"/>
        </w:rPr>
        <w:t xml:space="preserve"> subject to a daily maximum </w:t>
      </w:r>
      <w:r w:rsidR="00153FB0" w:rsidRPr="009D3213">
        <w:rPr>
          <w:rFonts w:ascii="Book Antiqua" w:hAnsi="Book Antiqua"/>
        </w:rPr>
        <w:t xml:space="preserve">of $50 </w:t>
      </w:r>
      <w:r w:rsidR="00F267E3" w:rsidRPr="009D3213">
        <w:rPr>
          <w:rFonts w:ascii="Book Antiqua" w:hAnsi="Book Antiqua"/>
        </w:rPr>
        <w:t>per individual</w:t>
      </w:r>
      <w:r w:rsidRPr="009D3213">
        <w:rPr>
          <w:rFonts w:ascii="Book Antiqua" w:hAnsi="Book Antiqua"/>
        </w:rPr>
        <w:t xml:space="preserve"> and must be approved in advance by </w:t>
      </w:r>
      <w:r w:rsidR="007123C1">
        <w:rPr>
          <w:rFonts w:ascii="Book Antiqua" w:hAnsi="Book Antiqua"/>
        </w:rPr>
        <w:t>an Officer</w:t>
      </w:r>
      <w:r w:rsidR="00F267E3" w:rsidRPr="009D3213">
        <w:rPr>
          <w:rFonts w:ascii="Book Antiqua" w:hAnsi="Book Antiqua"/>
        </w:rPr>
        <w:t xml:space="preserve">. </w:t>
      </w:r>
      <w:r w:rsidR="0050100B">
        <w:rPr>
          <w:rFonts w:ascii="Book Antiqua" w:hAnsi="Book Antiqua"/>
        </w:rPr>
        <w:t xml:space="preserve"> </w:t>
      </w:r>
      <w:r w:rsidRPr="009D3213">
        <w:rPr>
          <w:rFonts w:ascii="Book Antiqua" w:hAnsi="Book Antiqua"/>
        </w:rPr>
        <w:t>Entertainment expenses are limited to meals, refreshments, or covering the admission to an indust</w:t>
      </w:r>
      <w:r w:rsidR="00153FB0">
        <w:rPr>
          <w:rFonts w:ascii="Book Antiqua" w:hAnsi="Book Antiqua"/>
        </w:rPr>
        <w:t xml:space="preserve">ry-related or community event. </w:t>
      </w:r>
      <w:r w:rsidR="0050100B">
        <w:rPr>
          <w:rFonts w:ascii="Book Antiqua" w:hAnsi="Book Antiqua"/>
        </w:rPr>
        <w:t xml:space="preserve"> </w:t>
      </w:r>
      <w:r w:rsidR="00F267E3" w:rsidRPr="009D3213">
        <w:rPr>
          <w:rFonts w:ascii="Book Antiqua" w:hAnsi="Book Antiqua"/>
        </w:rPr>
        <w:t xml:space="preserve">A </w:t>
      </w:r>
      <w:r w:rsidRPr="009D3213">
        <w:rPr>
          <w:rFonts w:ascii="Book Antiqua" w:hAnsi="Book Antiqua"/>
        </w:rPr>
        <w:t>Brooklyn Coop</w:t>
      </w:r>
      <w:r w:rsidR="007123C1">
        <w:rPr>
          <w:rFonts w:ascii="Book Antiqua" w:hAnsi="Book Antiqua"/>
        </w:rPr>
        <w:t>erative</w:t>
      </w:r>
      <w:r w:rsidR="00F267E3" w:rsidRPr="009D3213">
        <w:rPr>
          <w:rFonts w:ascii="Book Antiqua" w:hAnsi="Book Antiqua"/>
        </w:rPr>
        <w:t xml:space="preserve"> employee must be present at </w:t>
      </w:r>
      <w:r w:rsidRPr="009D3213">
        <w:rPr>
          <w:rFonts w:ascii="Book Antiqua" w:hAnsi="Book Antiqua"/>
        </w:rPr>
        <w:t>partner</w:t>
      </w:r>
      <w:r w:rsidR="00F267E3" w:rsidRPr="009D3213">
        <w:rPr>
          <w:rFonts w:ascii="Book Antiqua" w:hAnsi="Book Antiqua"/>
        </w:rPr>
        <w:t xml:space="preserve"> entertainment events. </w:t>
      </w:r>
      <w:r w:rsidR="0050100B">
        <w:rPr>
          <w:rFonts w:ascii="Book Antiqua" w:hAnsi="Book Antiqua"/>
        </w:rPr>
        <w:t xml:space="preserve"> </w:t>
      </w:r>
      <w:r w:rsidR="00F267E3" w:rsidRPr="009D3213">
        <w:rPr>
          <w:rFonts w:ascii="Book Antiqua" w:hAnsi="Book Antiqua"/>
        </w:rPr>
        <w:t xml:space="preserve">Details regarding the expenditure and the nature of the business discussed must be provided as a condition to reimbursement. </w:t>
      </w:r>
    </w:p>
    <w:p w:rsidR="005F16FA" w:rsidRPr="009D3213" w:rsidRDefault="005F16FA" w:rsidP="00F267E3">
      <w:pPr>
        <w:rPr>
          <w:rFonts w:ascii="Book Antiqua" w:hAnsi="Book Antiqua"/>
        </w:rPr>
      </w:pPr>
    </w:p>
    <w:p w:rsidR="00153FB0" w:rsidRPr="007123C1" w:rsidRDefault="00153FB0" w:rsidP="00153FB0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Meetings and events</w:t>
      </w:r>
    </w:p>
    <w:p w:rsidR="00F267E3" w:rsidRPr="009D3213" w:rsidRDefault="00F267E3" w:rsidP="00153FB0">
      <w:pPr>
        <w:pStyle w:val="Default"/>
        <w:ind w:left="360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  <w:b/>
          <w:bCs/>
        </w:rPr>
        <w:t xml:space="preserve"> </w:t>
      </w:r>
    </w:p>
    <w:p w:rsidR="00F267E3" w:rsidRPr="009D3213" w:rsidRDefault="009C73A7" w:rsidP="00F267E3">
      <w:pPr>
        <w:pStyle w:val="Default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</w:rPr>
        <w:t>Business m</w:t>
      </w:r>
      <w:r w:rsidR="00F267E3" w:rsidRPr="009D3213">
        <w:rPr>
          <w:rFonts w:ascii="Book Antiqua" w:hAnsi="Book Antiqua" w:cs="Times New Roman"/>
        </w:rPr>
        <w:t>eetings and events must have a legitimate business purpose</w:t>
      </w:r>
      <w:r w:rsidR="00153FB0">
        <w:rPr>
          <w:rFonts w:ascii="Book Antiqua" w:hAnsi="Book Antiqua" w:cs="Times New Roman"/>
        </w:rPr>
        <w:t xml:space="preserve"> to qualify for expense coverage</w:t>
      </w:r>
      <w:r w:rsidR="00F267E3" w:rsidRPr="009D3213">
        <w:rPr>
          <w:rFonts w:ascii="Book Antiqua" w:hAnsi="Book Antiqua" w:cs="Times New Roman"/>
        </w:rPr>
        <w:t xml:space="preserve">. </w:t>
      </w:r>
      <w:r w:rsidR="0050100B">
        <w:rPr>
          <w:rFonts w:ascii="Book Antiqua" w:hAnsi="Book Antiqua" w:cs="Times New Roman"/>
        </w:rPr>
        <w:t xml:space="preserve"> </w:t>
      </w:r>
      <w:r w:rsidR="00F267E3" w:rsidRPr="009D3213">
        <w:rPr>
          <w:rFonts w:ascii="Book Antiqua" w:hAnsi="Book Antiqua" w:cs="Times New Roman"/>
        </w:rPr>
        <w:t xml:space="preserve">Business meetings, conferences, employee and </w:t>
      </w:r>
      <w:r w:rsidR="005F16FA" w:rsidRPr="009D3213">
        <w:rPr>
          <w:rFonts w:ascii="Book Antiqua" w:hAnsi="Book Antiqua" w:cs="Times New Roman"/>
        </w:rPr>
        <w:t>member</w:t>
      </w:r>
      <w:r w:rsidR="00F267E3" w:rsidRPr="009D3213">
        <w:rPr>
          <w:rFonts w:ascii="Book Antiqua" w:hAnsi="Book Antiqua" w:cs="Times New Roman"/>
        </w:rPr>
        <w:t xml:space="preserve"> events for which the total event cost exceeds </w:t>
      </w:r>
      <w:r w:rsidR="005F16FA" w:rsidRPr="007123C1">
        <w:rPr>
          <w:rFonts w:ascii="Book Antiqua" w:hAnsi="Book Antiqua" w:cs="Times New Roman"/>
        </w:rPr>
        <w:t>$200</w:t>
      </w:r>
      <w:r w:rsidR="00F267E3" w:rsidRPr="009D3213">
        <w:rPr>
          <w:rFonts w:ascii="Book Antiqua" w:hAnsi="Book Antiqua" w:cs="Times New Roman"/>
        </w:rPr>
        <w:t xml:space="preserve"> </w:t>
      </w:r>
      <w:r w:rsidR="005F16FA" w:rsidRPr="009D3213">
        <w:rPr>
          <w:rFonts w:ascii="Book Antiqua" w:hAnsi="Book Antiqua" w:cs="Times New Roman"/>
        </w:rPr>
        <w:t xml:space="preserve">must be approved </w:t>
      </w:r>
      <w:r w:rsidR="009A6E4D">
        <w:rPr>
          <w:rFonts w:ascii="Book Antiqua" w:hAnsi="Book Antiqua" w:cs="Times New Roman"/>
        </w:rPr>
        <w:t xml:space="preserve">in advance </w:t>
      </w:r>
      <w:r w:rsidR="005F16FA" w:rsidRPr="009D3213">
        <w:rPr>
          <w:rFonts w:ascii="Book Antiqua" w:hAnsi="Book Antiqua" w:cs="Times New Roman"/>
        </w:rPr>
        <w:t xml:space="preserve">by </w:t>
      </w:r>
      <w:r w:rsidR="007123C1">
        <w:rPr>
          <w:rFonts w:ascii="Book Antiqua" w:hAnsi="Book Antiqua" w:cs="Times New Roman"/>
        </w:rPr>
        <w:t xml:space="preserve">an Officer </w:t>
      </w:r>
      <w:r w:rsidR="00F267E3" w:rsidRPr="009D3213">
        <w:rPr>
          <w:rFonts w:ascii="Book Antiqua" w:hAnsi="Book Antiqua" w:cs="Times New Roman"/>
        </w:rPr>
        <w:t xml:space="preserve">to ensure cost effective delivery, appropriate selection of venue and other services provided. </w:t>
      </w:r>
      <w:r w:rsidR="0050100B">
        <w:rPr>
          <w:rFonts w:ascii="Book Antiqua" w:hAnsi="Book Antiqua" w:cs="Times New Roman"/>
        </w:rPr>
        <w:t xml:space="preserve"> </w:t>
      </w:r>
    </w:p>
    <w:p w:rsidR="00F267E3" w:rsidRPr="009D3213" w:rsidRDefault="00F267E3" w:rsidP="00F267E3">
      <w:pPr>
        <w:pStyle w:val="Default"/>
        <w:rPr>
          <w:rFonts w:ascii="Book Antiqua" w:hAnsi="Book Antiqua" w:cs="Times New Roman"/>
        </w:rPr>
      </w:pPr>
    </w:p>
    <w:p w:rsidR="00153FB0" w:rsidRPr="007123C1" w:rsidRDefault="00153FB0" w:rsidP="00153FB0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Transportation</w:t>
      </w:r>
    </w:p>
    <w:p w:rsidR="00F267E3" w:rsidRPr="009D3213" w:rsidRDefault="00F267E3" w:rsidP="00153FB0">
      <w:pPr>
        <w:pStyle w:val="Default"/>
        <w:ind w:left="360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  <w:b/>
          <w:bCs/>
        </w:rPr>
        <w:t xml:space="preserve"> </w:t>
      </w:r>
    </w:p>
    <w:p w:rsidR="009C73A7" w:rsidRPr="009D3213" w:rsidRDefault="00F267E3" w:rsidP="009C73A7">
      <w:pPr>
        <w:pStyle w:val="Default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</w:rPr>
        <w:t xml:space="preserve">Business travel must be booked in a manner that ensures </w:t>
      </w:r>
      <w:r w:rsidR="005F16FA" w:rsidRPr="009D3213">
        <w:rPr>
          <w:rFonts w:ascii="Book Antiqua" w:hAnsi="Book Antiqua" w:cs="Times New Roman"/>
        </w:rPr>
        <w:t xml:space="preserve">no luxury services </w:t>
      </w:r>
      <w:r w:rsidR="007123C1">
        <w:rPr>
          <w:rFonts w:ascii="Book Antiqua" w:hAnsi="Book Antiqua" w:cs="Times New Roman"/>
        </w:rPr>
        <w:t>are</w:t>
      </w:r>
      <w:r w:rsidR="003E1AF4">
        <w:rPr>
          <w:rFonts w:ascii="Book Antiqua" w:hAnsi="Book Antiqua" w:cs="Times New Roman"/>
        </w:rPr>
        <w:t xml:space="preserve"> </w:t>
      </w:r>
      <w:r w:rsidR="005F16FA" w:rsidRPr="009D3213">
        <w:rPr>
          <w:rFonts w:ascii="Book Antiqua" w:hAnsi="Book Antiqua" w:cs="Times New Roman"/>
        </w:rPr>
        <w:t>utilized</w:t>
      </w:r>
      <w:r w:rsidRPr="009D3213">
        <w:rPr>
          <w:rFonts w:ascii="Book Antiqua" w:hAnsi="Book Antiqua" w:cs="Times New Roman"/>
        </w:rPr>
        <w:t xml:space="preserve">. </w:t>
      </w:r>
      <w:r w:rsidR="0050100B">
        <w:rPr>
          <w:rFonts w:ascii="Book Antiqua" w:hAnsi="Book Antiqua" w:cs="Times New Roman"/>
        </w:rPr>
        <w:t xml:space="preserve"> </w:t>
      </w:r>
      <w:r w:rsidR="005F16FA" w:rsidRPr="009D3213">
        <w:rPr>
          <w:rFonts w:ascii="Book Antiqua" w:hAnsi="Book Antiqua" w:cs="Times New Roman"/>
        </w:rPr>
        <w:t>The most cost effective transportation available should be utilized</w:t>
      </w:r>
      <w:r w:rsidR="007123C1">
        <w:rPr>
          <w:rFonts w:ascii="Book Antiqua" w:hAnsi="Book Antiqua" w:cs="Times New Roman"/>
        </w:rPr>
        <w:t>, whether public transport or private.  P</w:t>
      </w:r>
      <w:r w:rsidRPr="009D3213">
        <w:rPr>
          <w:rFonts w:ascii="Book Antiqua" w:hAnsi="Book Antiqua" w:cs="Times New Roman"/>
        </w:rPr>
        <w:t xml:space="preserve">rivate cars or car services may be used for business travel when public transportation is not reasonably available or if required for security, confidentiality or other </w:t>
      </w:r>
      <w:r w:rsidR="003E1AF4">
        <w:rPr>
          <w:rFonts w:ascii="Book Antiqua" w:hAnsi="Book Antiqua" w:cs="Times New Roman"/>
        </w:rPr>
        <w:t xml:space="preserve">significant </w:t>
      </w:r>
      <w:r w:rsidRPr="009D3213">
        <w:rPr>
          <w:rFonts w:ascii="Book Antiqua" w:hAnsi="Book Antiqua" w:cs="Times New Roman"/>
        </w:rPr>
        <w:t xml:space="preserve">reasons. </w:t>
      </w:r>
      <w:r w:rsidR="0050100B">
        <w:rPr>
          <w:rFonts w:ascii="Book Antiqua" w:hAnsi="Book Antiqua" w:cs="Times New Roman"/>
        </w:rPr>
        <w:t xml:space="preserve"> </w:t>
      </w:r>
      <w:r w:rsidR="007123C1">
        <w:rPr>
          <w:rFonts w:ascii="Book Antiqua" w:hAnsi="Book Antiqua" w:cs="Times New Roman"/>
        </w:rPr>
        <w:t>As detailed in the Travel Policy and Procedures , a</w:t>
      </w:r>
      <w:r w:rsidRPr="009D3213">
        <w:rPr>
          <w:rFonts w:ascii="Book Antiqua" w:hAnsi="Book Antiqua" w:cs="Times New Roman"/>
        </w:rPr>
        <w:t xml:space="preserve">ll RBE submissions must be reviewed by the </w:t>
      </w:r>
      <w:r w:rsidR="003E1AF4">
        <w:rPr>
          <w:rFonts w:ascii="Book Antiqua" w:hAnsi="Book Antiqua" w:cs="Times New Roman"/>
        </w:rPr>
        <w:t>COO</w:t>
      </w:r>
      <w:r w:rsidRPr="009D3213">
        <w:rPr>
          <w:rFonts w:ascii="Book Antiqua" w:hAnsi="Book Antiqua" w:cs="Times New Roman"/>
        </w:rPr>
        <w:t xml:space="preserve"> for appropriateness and compliance with expense policies. </w:t>
      </w:r>
      <w:r w:rsidR="005F16FA" w:rsidRPr="009D3213">
        <w:rPr>
          <w:rFonts w:ascii="Book Antiqua" w:hAnsi="Book Antiqua" w:cs="Times New Roman"/>
        </w:rPr>
        <w:t xml:space="preserve"> </w:t>
      </w:r>
    </w:p>
    <w:p w:rsidR="009C73A7" w:rsidRPr="009D3213" w:rsidRDefault="009C73A7" w:rsidP="009C73A7">
      <w:pPr>
        <w:pStyle w:val="Default"/>
        <w:rPr>
          <w:rFonts w:ascii="Book Antiqua" w:hAnsi="Book Antiqua" w:cs="Times New Roman"/>
        </w:rPr>
      </w:pPr>
    </w:p>
    <w:p w:rsidR="00F267E3" w:rsidRPr="007123C1" w:rsidRDefault="003E1AF4" w:rsidP="003E1AF4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Office Renovations</w:t>
      </w:r>
    </w:p>
    <w:p w:rsidR="003E1AF4" w:rsidRPr="003E1AF4" w:rsidRDefault="003E1AF4" w:rsidP="003E1AF4">
      <w:pPr>
        <w:pStyle w:val="Default"/>
        <w:ind w:left="360"/>
        <w:rPr>
          <w:rFonts w:ascii="Book Antiqua" w:hAnsi="Book Antiqua" w:cs="Times New Roman"/>
          <w:u w:val="single"/>
        </w:rPr>
      </w:pPr>
    </w:p>
    <w:p w:rsidR="00F267E3" w:rsidRPr="009D3213" w:rsidRDefault="009C73A7" w:rsidP="00F267E3">
      <w:pPr>
        <w:rPr>
          <w:rFonts w:ascii="Book Antiqua" w:hAnsi="Book Antiqua"/>
        </w:rPr>
      </w:pPr>
      <w:r w:rsidRPr="009D3213">
        <w:rPr>
          <w:rFonts w:ascii="Book Antiqua" w:hAnsi="Book Antiqua"/>
        </w:rPr>
        <w:t>Office and facility renovations are undertaken on a corporate level with the approval of the COO and CEO.  The credit union’s regular expense polic</w:t>
      </w:r>
      <w:r w:rsidR="00323714">
        <w:rPr>
          <w:rFonts w:ascii="Book Antiqua" w:hAnsi="Book Antiqua"/>
        </w:rPr>
        <w:t>y</w:t>
      </w:r>
      <w:r w:rsidRPr="009D3213">
        <w:rPr>
          <w:rFonts w:ascii="Book Antiqua" w:hAnsi="Book Antiqua"/>
        </w:rPr>
        <w:t xml:space="preserve"> </w:t>
      </w:r>
      <w:r w:rsidR="00323714">
        <w:rPr>
          <w:rFonts w:ascii="Book Antiqua" w:hAnsi="Book Antiqua"/>
        </w:rPr>
        <w:t>is</w:t>
      </w:r>
      <w:r w:rsidRPr="009D3213">
        <w:rPr>
          <w:rFonts w:ascii="Book Antiqua" w:hAnsi="Book Antiqua"/>
        </w:rPr>
        <w:t xml:space="preserve"> </w:t>
      </w:r>
      <w:r w:rsidR="003E1AF4">
        <w:rPr>
          <w:rFonts w:ascii="Book Antiqua" w:hAnsi="Book Antiqua"/>
        </w:rPr>
        <w:t>utilized for</w:t>
      </w:r>
      <w:r w:rsidRPr="009D3213">
        <w:rPr>
          <w:rFonts w:ascii="Book Antiqua" w:hAnsi="Book Antiqua"/>
        </w:rPr>
        <w:t xml:space="preserve"> all renovations.  Project approvals are based on cost effectiveness, utility, and modesty. </w:t>
      </w:r>
    </w:p>
    <w:p w:rsidR="00F267E3" w:rsidRPr="009D3213" w:rsidRDefault="00F267E3" w:rsidP="00F267E3">
      <w:pPr>
        <w:rPr>
          <w:rFonts w:ascii="Book Antiqua" w:hAnsi="Book Antiqua"/>
        </w:rPr>
      </w:pPr>
    </w:p>
    <w:p w:rsidR="00F267E3" w:rsidRPr="007123C1" w:rsidRDefault="00F267E3" w:rsidP="003E1AF4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E</w:t>
      </w:r>
      <w:r w:rsidR="003E1AF4" w:rsidRPr="007123C1">
        <w:rPr>
          <w:rFonts w:ascii="Book Antiqua" w:hAnsi="Book Antiqua" w:cs="Times New Roman"/>
          <w:b/>
          <w:bCs/>
          <w:u w:val="single"/>
        </w:rPr>
        <w:t>xceptions</w:t>
      </w:r>
      <w:r w:rsidRPr="007123C1">
        <w:rPr>
          <w:rFonts w:ascii="Book Antiqua" w:hAnsi="Book Antiqua" w:cs="Times New Roman"/>
          <w:b/>
          <w:bCs/>
          <w:u w:val="single"/>
        </w:rPr>
        <w:t xml:space="preserve"> </w:t>
      </w:r>
    </w:p>
    <w:p w:rsidR="003E1AF4" w:rsidRPr="003E1AF4" w:rsidRDefault="003E1AF4" w:rsidP="003E1AF4">
      <w:pPr>
        <w:pStyle w:val="Default"/>
        <w:rPr>
          <w:rFonts w:ascii="Book Antiqua" w:hAnsi="Book Antiqua" w:cs="Times New Roman"/>
          <w:u w:val="single"/>
        </w:rPr>
      </w:pPr>
    </w:p>
    <w:p w:rsidR="00F267E3" w:rsidRPr="009D3213" w:rsidRDefault="00F267E3" w:rsidP="00F267E3">
      <w:pPr>
        <w:pStyle w:val="Default"/>
        <w:rPr>
          <w:rFonts w:ascii="Book Antiqua" w:hAnsi="Book Antiqua" w:cs="Times New Roman"/>
        </w:rPr>
      </w:pPr>
      <w:r w:rsidRPr="009D3213">
        <w:rPr>
          <w:rFonts w:ascii="Book Antiqua" w:hAnsi="Book Antiqua" w:cs="Times New Roman"/>
        </w:rPr>
        <w:t>Requests for exceptions to this policy must be submitted in writing and may</w:t>
      </w:r>
      <w:r w:rsidR="003E1AF4">
        <w:rPr>
          <w:rFonts w:ascii="Book Antiqua" w:hAnsi="Book Antiqua" w:cs="Times New Roman"/>
        </w:rPr>
        <w:t xml:space="preserve"> only be approved by the CE</w:t>
      </w:r>
      <w:r w:rsidRPr="009D3213">
        <w:rPr>
          <w:rFonts w:ascii="Book Antiqua" w:hAnsi="Book Antiqua" w:cs="Times New Roman"/>
        </w:rPr>
        <w:t xml:space="preserve">O. </w:t>
      </w:r>
      <w:r w:rsidR="0050100B">
        <w:rPr>
          <w:rFonts w:ascii="Book Antiqua" w:hAnsi="Book Antiqua" w:cs="Times New Roman"/>
        </w:rPr>
        <w:t xml:space="preserve"> </w:t>
      </w:r>
      <w:r w:rsidRPr="009D3213">
        <w:rPr>
          <w:rFonts w:ascii="Book Antiqua" w:hAnsi="Book Antiqua" w:cs="Times New Roman"/>
        </w:rPr>
        <w:t xml:space="preserve">Exceptions shall be reported to the CEO and the Board of Directors. </w:t>
      </w:r>
    </w:p>
    <w:p w:rsidR="009C73A7" w:rsidRPr="009D3213" w:rsidRDefault="009C73A7" w:rsidP="00F267E3">
      <w:pPr>
        <w:pStyle w:val="Default"/>
        <w:rPr>
          <w:rFonts w:ascii="Book Antiqua" w:hAnsi="Book Antiqua" w:cs="Times New Roman"/>
        </w:rPr>
      </w:pPr>
    </w:p>
    <w:p w:rsidR="00F267E3" w:rsidRPr="007123C1" w:rsidRDefault="00F267E3" w:rsidP="003E1AF4">
      <w:pPr>
        <w:pStyle w:val="Default"/>
        <w:numPr>
          <w:ilvl w:val="0"/>
          <w:numId w:val="1"/>
        </w:numPr>
        <w:rPr>
          <w:rFonts w:ascii="Book Antiqua" w:hAnsi="Book Antiqua" w:cs="Times New Roman"/>
          <w:b/>
          <w:bCs/>
          <w:u w:val="single"/>
        </w:rPr>
      </w:pPr>
      <w:r w:rsidRPr="007123C1">
        <w:rPr>
          <w:rFonts w:ascii="Book Antiqua" w:hAnsi="Book Antiqua" w:cs="Times New Roman"/>
          <w:b/>
          <w:bCs/>
          <w:u w:val="single"/>
        </w:rPr>
        <w:t>P</w:t>
      </w:r>
      <w:r w:rsidR="003E1AF4" w:rsidRPr="007123C1">
        <w:rPr>
          <w:rFonts w:ascii="Book Antiqua" w:hAnsi="Book Antiqua" w:cs="Times New Roman"/>
          <w:b/>
          <w:bCs/>
          <w:u w:val="single"/>
        </w:rPr>
        <w:t>olicy Violations</w:t>
      </w:r>
    </w:p>
    <w:p w:rsidR="003E1AF4" w:rsidRPr="003E1AF4" w:rsidRDefault="003E1AF4" w:rsidP="003E1AF4">
      <w:pPr>
        <w:pStyle w:val="Default"/>
        <w:rPr>
          <w:rFonts w:ascii="Book Antiqua" w:hAnsi="Book Antiqua" w:cs="Times New Roman"/>
          <w:u w:val="single"/>
        </w:rPr>
      </w:pPr>
    </w:p>
    <w:p w:rsidR="00F267E3" w:rsidRPr="009D3213" w:rsidRDefault="00F267E3" w:rsidP="00F267E3">
      <w:pPr>
        <w:rPr>
          <w:rFonts w:ascii="Book Antiqua" w:hAnsi="Book Antiqua"/>
        </w:rPr>
      </w:pPr>
      <w:r w:rsidRPr="009D3213">
        <w:rPr>
          <w:rFonts w:ascii="Book Antiqua" w:hAnsi="Book Antiqua"/>
        </w:rPr>
        <w:lastRenderedPageBreak/>
        <w:t>Violations of this policy must be promptly reported to the CEO and</w:t>
      </w:r>
      <w:r w:rsidR="007123C1">
        <w:rPr>
          <w:rFonts w:ascii="Book Antiqua" w:hAnsi="Book Antiqua"/>
        </w:rPr>
        <w:t>/or the</w:t>
      </w:r>
      <w:r w:rsidRPr="009D3213">
        <w:rPr>
          <w:rFonts w:ascii="Book Antiqua" w:hAnsi="Book Antiqua"/>
        </w:rPr>
        <w:t xml:space="preserve"> Board of Directors as appropriate. </w:t>
      </w:r>
      <w:r w:rsidR="0050100B">
        <w:rPr>
          <w:rFonts w:ascii="Book Antiqua" w:hAnsi="Book Antiqua"/>
        </w:rPr>
        <w:t xml:space="preserve"> </w:t>
      </w:r>
      <w:r w:rsidRPr="009D3213">
        <w:rPr>
          <w:rFonts w:ascii="Book Antiqua" w:hAnsi="Book Antiqua"/>
        </w:rPr>
        <w:t>Failure to comply with the provisions of this policy or the procedures described above may result in disciplinary action, up to and including immediate termination of employment.</w:t>
      </w:r>
    </w:p>
    <w:p w:rsidR="005A753A" w:rsidRPr="009D3213" w:rsidRDefault="005A753A" w:rsidP="00F267E3">
      <w:pPr>
        <w:rPr>
          <w:rFonts w:ascii="Book Antiqua" w:hAnsi="Book Antiqua"/>
        </w:rPr>
      </w:pPr>
    </w:p>
    <w:sectPr w:rsidR="005A753A" w:rsidRPr="009D3213" w:rsidSect="00497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CA" w:rsidRDefault="00923BCA">
      <w:r>
        <w:separator/>
      </w:r>
    </w:p>
  </w:endnote>
  <w:endnote w:type="continuationSeparator" w:id="0">
    <w:p w:rsidR="00923BCA" w:rsidRDefault="0092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E" w:rsidRDefault="00A778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6F" w:rsidRDefault="007123C1" w:rsidP="00583A5A">
    <w:pPr>
      <w:pStyle w:val="Footer"/>
      <w:tabs>
        <w:tab w:val="clear" w:pos="8640"/>
        <w:tab w:val="right" w:pos="9360"/>
      </w:tabs>
      <w:jc w:val="center"/>
      <w:rPr>
        <w:rFonts w:ascii="Book Antiqua" w:hAnsi="Book Antiqua"/>
        <w:b/>
        <w:bCs/>
        <w:sz w:val="22"/>
        <w:u w:val="single"/>
      </w:rPr>
    </w:pPr>
    <w:r>
      <w:rPr>
        <w:rFonts w:ascii="Book Antiqua" w:hAnsi="Book Antiqua"/>
        <w:b/>
        <w:bCs/>
        <w:sz w:val="22"/>
        <w:u w:val="single"/>
      </w:rPr>
      <w:t>12/20</w:t>
    </w:r>
    <w:r w:rsidR="0070266F">
      <w:rPr>
        <w:rFonts w:ascii="Book Antiqua" w:hAnsi="Book Antiqua"/>
        <w:b/>
        <w:bCs/>
        <w:sz w:val="22"/>
        <w:u w:val="single"/>
      </w:rPr>
      <w:t>/2010</w:t>
    </w:r>
    <w:r w:rsidR="0070266F">
      <w:rPr>
        <w:rFonts w:ascii="Book Antiqua" w:hAnsi="Book Antiqua"/>
        <w:b/>
        <w:bCs/>
        <w:sz w:val="22"/>
        <w:u w:val="single"/>
      </w:rPr>
      <w:tab/>
    </w:r>
    <w:r w:rsidR="0070266F">
      <w:rPr>
        <w:rFonts w:ascii="Book Antiqua" w:hAnsi="Book Antiqua"/>
        <w:b/>
        <w:bCs/>
        <w:sz w:val="22"/>
        <w:u w:val="single"/>
      </w:rPr>
      <w:tab/>
      <w:t xml:space="preserve">Page </w:t>
    </w:r>
    <w:r w:rsidR="00DB7B8F">
      <w:rPr>
        <w:rStyle w:val="PageNumber"/>
        <w:rFonts w:ascii="Book Antiqua" w:hAnsi="Book Antiqua"/>
        <w:b/>
        <w:bCs/>
        <w:sz w:val="22"/>
        <w:u w:val="single"/>
      </w:rPr>
      <w:fldChar w:fldCharType="begin"/>
    </w:r>
    <w:r w:rsidR="0070266F">
      <w:rPr>
        <w:rStyle w:val="PageNumber"/>
        <w:rFonts w:ascii="Book Antiqua" w:hAnsi="Book Antiqua"/>
        <w:b/>
        <w:bCs/>
        <w:sz w:val="22"/>
        <w:u w:val="single"/>
      </w:rPr>
      <w:instrText xml:space="preserve"> PAGE </w:instrText>
    </w:r>
    <w:r w:rsidR="00DB7B8F">
      <w:rPr>
        <w:rStyle w:val="PageNumber"/>
        <w:rFonts w:ascii="Book Antiqua" w:hAnsi="Book Antiqua"/>
        <w:b/>
        <w:bCs/>
        <w:sz w:val="22"/>
        <w:u w:val="single"/>
      </w:rPr>
      <w:fldChar w:fldCharType="separate"/>
    </w:r>
    <w:r w:rsidR="00F0205B">
      <w:rPr>
        <w:rStyle w:val="PageNumber"/>
        <w:rFonts w:ascii="Book Antiqua" w:hAnsi="Book Antiqua"/>
        <w:b/>
        <w:bCs/>
        <w:noProof/>
        <w:sz w:val="22"/>
        <w:u w:val="single"/>
      </w:rPr>
      <w:t>1</w:t>
    </w:r>
    <w:r w:rsidR="00DB7B8F">
      <w:rPr>
        <w:rStyle w:val="PageNumber"/>
        <w:rFonts w:ascii="Book Antiqua" w:hAnsi="Book Antiqua"/>
        <w:b/>
        <w:bCs/>
        <w:sz w:val="22"/>
        <w:u w:val="single"/>
      </w:rPr>
      <w:fldChar w:fldCharType="end"/>
    </w:r>
  </w:p>
  <w:p w:rsidR="0070266F" w:rsidRDefault="007026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E" w:rsidRDefault="00A77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CA" w:rsidRDefault="00923BCA">
      <w:r>
        <w:separator/>
      </w:r>
    </w:p>
  </w:footnote>
  <w:footnote w:type="continuationSeparator" w:id="0">
    <w:p w:rsidR="00923BCA" w:rsidRDefault="00923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E" w:rsidRDefault="00A77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6F" w:rsidRPr="009A6E4D" w:rsidRDefault="0070266F" w:rsidP="00497D4E">
    <w:pPr>
      <w:pStyle w:val="Header"/>
      <w:tabs>
        <w:tab w:val="clear" w:pos="8640"/>
        <w:tab w:val="right" w:pos="9360"/>
      </w:tabs>
      <w:rPr>
        <w:rFonts w:ascii="Book Antiqua" w:hAnsi="Book Antiqua"/>
        <w:b/>
        <w:sz w:val="22"/>
        <w:szCs w:val="22"/>
        <w:u w:val="single"/>
      </w:rPr>
    </w:pPr>
    <w:smartTag w:uri="urn:schemas-microsoft-com:office:smarttags" w:element="place">
      <w:r w:rsidRPr="009A6E4D">
        <w:rPr>
          <w:rFonts w:ascii="Book Antiqua" w:hAnsi="Book Antiqua"/>
          <w:b/>
          <w:sz w:val="22"/>
          <w:szCs w:val="22"/>
          <w:u w:val="single"/>
        </w:rPr>
        <w:t>Brooklyn</w:t>
      </w:r>
    </w:smartTag>
    <w:r w:rsidRPr="009A6E4D">
      <w:rPr>
        <w:rFonts w:ascii="Book Antiqua" w:hAnsi="Book Antiqua"/>
        <w:b/>
        <w:sz w:val="22"/>
        <w:szCs w:val="22"/>
        <w:u w:val="single"/>
      </w:rPr>
      <w:t xml:space="preserve"> Cooperative FCU</w:t>
    </w:r>
    <w:r w:rsidRPr="009A6E4D">
      <w:rPr>
        <w:rFonts w:ascii="Book Antiqua" w:hAnsi="Book Antiqua"/>
        <w:b/>
        <w:sz w:val="22"/>
        <w:szCs w:val="22"/>
        <w:u w:val="single"/>
      </w:rPr>
      <w:tab/>
    </w:r>
    <w:r w:rsidRPr="009A6E4D">
      <w:rPr>
        <w:rFonts w:ascii="Book Antiqua" w:hAnsi="Book Antiqua"/>
        <w:b/>
        <w:sz w:val="22"/>
        <w:szCs w:val="22"/>
        <w:u w:val="single"/>
      </w:rPr>
      <w:tab/>
      <w:t>CDCI Luxury Expenditure Policy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E" w:rsidRDefault="00A77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4DA"/>
    <w:multiLevelType w:val="hybridMultilevel"/>
    <w:tmpl w:val="293E81CE"/>
    <w:lvl w:ilvl="0" w:tplc="A5821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25AB"/>
    <w:rsid w:val="000E1350"/>
    <w:rsid w:val="00153FB0"/>
    <w:rsid w:val="00157CC5"/>
    <w:rsid w:val="001B1455"/>
    <w:rsid w:val="001F37C5"/>
    <w:rsid w:val="0024416E"/>
    <w:rsid w:val="002522A0"/>
    <w:rsid w:val="00323714"/>
    <w:rsid w:val="00367FC1"/>
    <w:rsid w:val="003E1AF4"/>
    <w:rsid w:val="0049161C"/>
    <w:rsid w:val="00497D4E"/>
    <w:rsid w:val="004C6F2B"/>
    <w:rsid w:val="0050100B"/>
    <w:rsid w:val="00583A5A"/>
    <w:rsid w:val="005A753A"/>
    <w:rsid w:val="005F16FA"/>
    <w:rsid w:val="0070266F"/>
    <w:rsid w:val="007123C1"/>
    <w:rsid w:val="00766AA7"/>
    <w:rsid w:val="008139AC"/>
    <w:rsid w:val="008D2348"/>
    <w:rsid w:val="00923BCA"/>
    <w:rsid w:val="009A6E4D"/>
    <w:rsid w:val="009C73A7"/>
    <w:rsid w:val="009D3213"/>
    <w:rsid w:val="00A3541C"/>
    <w:rsid w:val="00A7786E"/>
    <w:rsid w:val="00AE25AB"/>
    <w:rsid w:val="00BA46DC"/>
    <w:rsid w:val="00BD20DF"/>
    <w:rsid w:val="00C25768"/>
    <w:rsid w:val="00DB7B8F"/>
    <w:rsid w:val="00F0205B"/>
    <w:rsid w:val="00F2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583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A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A5A"/>
  </w:style>
  <w:style w:type="character" w:styleId="Hyperlink">
    <w:name w:val="Hyperlink"/>
    <w:basedOn w:val="DefaultParagraphFont"/>
    <w:rsid w:val="00583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yn.co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CDCI Luxury Expenditure Policy</vt:lpstr>
    </vt:vector>
  </TitlesOfParts>
  <Company>BCFCU</Company>
  <LinksUpToDate>false</LinksUpToDate>
  <CharactersWithSpaces>4550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http://www.brooklyn.coop/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CDCI Luxury Expenditure Policy</dc:title>
  <dc:creator>Allison</dc:creator>
  <cp:lastModifiedBy>mrytle5</cp:lastModifiedBy>
  <cp:revision>2</cp:revision>
  <cp:lastPrinted>2010-11-19T23:46:00Z</cp:lastPrinted>
  <dcterms:created xsi:type="dcterms:W3CDTF">2010-12-29T14:52:00Z</dcterms:created>
  <dcterms:modified xsi:type="dcterms:W3CDTF">2010-12-29T14:52:00Z</dcterms:modified>
</cp:coreProperties>
</file>